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</w:pPr>
      <w:r>
        <w:drawing>
          <wp:inline distT="0" distB="0" distL="0" distR="0">
            <wp:extent cx="1428750" cy="3810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6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1428750" cy="38100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0" w:after="50"/>
        <w:jc w:val="center"/>
        <w:pStyle w:val="Heading1"/>
      </w:pPr>
      <w:r>
        <w:rPr>
          <w:b w:val="true"/>
          <w:bCs w:val="true"/>
          <w:color w:val="black"/>
          <w:sz w:val="28"/>
          <w:szCs w:val="28"/>
          <w:rFonts w:ascii="Calibri" w:cs="Calibri" w:eastAsia="Calibri" w:hAnsi="Calibri"/>
        </w:rPr>
        <w:t xml:space="preserve">Law Lite Schedule of Damages</w:t>
      </w:r>
    </w:p>
    <w:p>
      <w:pPr>
        <w:spacing w:before="50" w:after="50"/>
      </w:pPr>
      <w:r>
        <w:rPr>
          <w:color w:val="black"/>
          <w:sz w:val="26"/>
          <w:szCs w:val="26"/>
          <w:rFonts w:ascii="Calibri" w:cs="Calibri" w:eastAsia="Calibri" w:hAnsi="Calibri"/>
        </w:rPr>
      </w:r>
    </w:p>
    <w:p>
      <w:pPr>
        <w:spacing w:before="250"/>
        <w:tabs>
          <w:tab w:val="right" w:pos="9026"/>
        </w:tabs>
      </w:pP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General Damages: 	</w:t>
      </w: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$ 400,000</w:t>
      </w:r>
    </w:p>
    <w:p>
      <w:pPr>
        <w:spacing w:before="250"/>
        <w:tabs>
          <w:tab w:val="right" w:pos="9026"/>
        </w:tabs>
      </w:pP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Interest on Past General Damages: 	</w:t>
      </w: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$ 96,000</w:t>
      </w:r>
    </w:p>
    <w:p>
      <w:pPr>
        <w:spacing w:before="50" w:after="50"/>
      </w:pPr>
      <w:r>
        <w:rPr>
          <w:color w:val="black"/>
          <w:sz w:val="18"/>
          <w:szCs w:val="18"/>
          <w:rFonts w:ascii="Calibri" w:cs="Calibri" w:eastAsia="Calibri" w:hAnsi="Calibri"/>
        </w:rPr>
        <w:t xml:space="preserve">$400,000 * 60% * 4% * 20 years * 1/2</w:t>
      </w:r>
    </w:p>
    <w:p>
      <w:pPr>
        <w:spacing w:before="250"/>
        <w:tabs>
          <w:tab w:val="right" w:pos="9026"/>
        </w:tabs>
      </w:pP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Aggravated Damages: 	</w:t>
      </w: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$ 20,000</w:t>
      </w:r>
    </w:p>
    <w:p>
      <w:pPr>
        <w:spacing w:before="250"/>
        <w:tabs>
          <w:tab w:val="right" w:pos="9026"/>
        </w:tabs>
      </w:pP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Exemplary Damages: 	</w:t>
      </w: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$ 15,000</w:t>
      </w:r>
    </w:p>
    <w:p>
      <w:pPr>
        <w:spacing w:before="250"/>
        <w:tabs>
          <w:tab w:val="right" w:pos="9026"/>
        </w:tabs>
      </w:pP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Past Eco Loss (Earnings): 	</w:t>
      </w: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$ 313,080</w:t>
      </w:r>
    </w:p>
    <w:p>
      <w:pPr>
        <w:spacing w:before="50" w:after="50"/>
      </w:pPr>
      <w:r>
        <w:rPr>
          <w:color w:val="black"/>
          <w:sz w:val="18"/>
          <w:szCs w:val="18"/>
          <w:rFonts w:ascii="Calibri" w:cs="Calibri" w:eastAsia="Calibri" w:hAnsi="Calibri"/>
        </w:rPr>
        <w:t xml:space="preserve">$300 * 52.18 * 20 years </w:t>
      </w:r>
    </w:p>
    <w:p>
      <w:pPr>
        <w:spacing w:before="250"/>
        <w:tabs>
          <w:tab w:val="right" w:pos="9026"/>
        </w:tabs>
      </w:pP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Past Lost Superannuation: 	</w:t>
      </w: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$ 29,742.60</w:t>
      </w:r>
    </w:p>
    <w:p>
      <w:pPr>
        <w:spacing w:before="50" w:after="50"/>
      </w:pPr>
      <w:r>
        <w:rPr>
          <w:color w:val="black"/>
          <w:sz w:val="18"/>
          <w:szCs w:val="18"/>
          <w:rFonts w:ascii="Calibri" w:cs="Calibri" w:eastAsia="Calibri" w:hAnsi="Calibri"/>
        </w:rPr>
        <w:t xml:space="preserve">$313,080 * 9.5%</w:t>
      </w:r>
    </w:p>
    <w:p>
      <w:pPr>
        <w:spacing w:before="250"/>
        <w:tabs>
          <w:tab w:val="right" w:pos="9026"/>
        </w:tabs>
      </w:pP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Pre-Judgment Interest: 	</w:t>
      </w: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$ 260,172.82</w:t>
      </w:r>
    </w:p>
    <w:p>
      <w:pPr>
        <w:spacing w:before="250"/>
        <w:tabs>
          <w:tab w:val="right" w:pos="9026"/>
        </w:tabs>
      </w:pP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Future Eco Loss (Earnings): 	</w:t>
      </w: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$ 274,354.50</w:t>
      </w:r>
    </w:p>
    <w:p>
      <w:pPr>
        <w:spacing w:before="50" w:after="50"/>
      </w:pPr>
      <w:r>
        <w:rPr>
          <w:color w:val="black"/>
          <w:sz w:val="18"/>
          <w:szCs w:val="18"/>
          <w:rFonts w:ascii="Calibri" w:cs="Calibri" w:eastAsia="Calibri" w:hAnsi="Calibri"/>
        </w:rPr>
        <w:t xml:space="preserve">$350 * 922.2 * 0.85</w:t>
      </w:r>
    </w:p>
    <w:p>
      <w:pPr>
        <w:spacing w:before="250"/>
        <w:tabs>
          <w:tab w:val="right" w:pos="9026"/>
        </w:tabs>
      </w:pP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Future Lost Superannuation: 	</w:t>
      </w: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$ 39,232.69</w:t>
      </w:r>
    </w:p>
    <w:p>
      <w:pPr>
        <w:spacing w:before="50" w:after="50"/>
      </w:pPr>
      <w:r>
        <w:rPr>
          <w:color w:val="black"/>
          <w:sz w:val="18"/>
          <w:szCs w:val="18"/>
          <w:rFonts w:ascii="Calibri" w:cs="Calibri" w:eastAsia="Calibri" w:hAnsi="Calibri"/>
        </w:rPr>
        <w:t xml:space="preserve">$274,354.5 * 14.3%</w:t>
      </w:r>
    </w:p>
    <w:p>
      <w:pPr>
        <w:spacing w:before="250"/>
        <w:tabs>
          <w:tab w:val="right" w:pos="9026"/>
        </w:tabs>
      </w:pP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Future Out of Pockets (Lump Sum): 	</w:t>
      </w: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$ 15,000</w:t>
      </w:r>
    </w:p>
    <w:p>
      <w:pPr>
        <w:spacing w:before="250"/>
        <w:tabs>
          <w:tab w:val="right" w:pos="9026"/>
        </w:tabs>
      </w:pP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Past Out of Pockets (Set Number): 	</w:t>
      </w: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$ 5,000</w:t>
      </w:r>
    </w:p>
    <w:p>
      <w:pPr>
        <w:spacing w:before="50" w:after="50"/>
      </w:pPr>
      <w:r>
        <w:rPr>
          <w:color w:val="black"/>
          <w:sz w:val="18"/>
          <w:szCs w:val="18"/>
          <w:rFonts w:ascii="Calibri" w:cs="Calibri" w:eastAsia="Calibri" w:hAnsi="Calibri"/>
        </w:rPr>
        <w:t xml:space="preserve">$250 * 20</w:t>
      </w:r>
    </w:p>
    <w:p>
      <w:pPr>
        <w:spacing w:before="100" w:after="50"/>
      </w:pPr>
      <w:r>
        <w:rPr>
          <w:color w:val="black"/>
          <w:sz w:val="18"/>
          <w:szCs w:val="18"/>
          <w:rFonts w:ascii="Calibri" w:cs="Calibri" w:eastAsia="Calibri" w:hAnsi="Calibri"/>
        </w:rPr>
        <w:t xml:space="preserve">Comments / Reasons:</w:t>
      </w:r>
    </w:p>
    <w:p>
      <w:pPr>
        <w:spacing w:before="50" w:after="50"/>
      </w:pPr>
      <w:r>
        <w:rPr>
          <w:color w:val="black"/>
          <w:sz w:val="18"/>
          <w:szCs w:val="18"/>
          <w:rFonts w:ascii="Calibri" w:cs="Calibri" w:eastAsia="Calibri" w:hAnsi="Calibri"/>
        </w:rPr>
        <w:t xml:space="preserve">Clinical Psychologist</w:t>
      </w:r>
    </w:p>
    <w:p>
      <w:pPr>
        <w:spacing w:before="250"/>
        <w:tabs>
          <w:tab w:val="right" w:pos="9026"/>
        </w:tabs>
      </w:pP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Total: 	</w:t>
      </w:r>
      <w:r>
        <w:rPr>
          <w:b w:val="true"/>
          <w:bCs w:val="true"/>
          <w:color w:val="black"/>
          <w:sz w:val="22"/>
          <w:szCs w:val="22"/>
          <w:rFonts w:ascii="Calibri" w:cs="Calibri" w:eastAsia="Calibri" w:hAnsi="Calibri"/>
        </w:rPr>
        <w:t xml:space="preserve">$ 1,467,582.61</w:t>
      </w:r>
    </w:p>
    <w:p>
      <w:pPr>
        <w:spacing w:before="50" w:after="50"/>
        <w:jc w:val="center"/>
        <w:pStyle w:val="Heading1"/>
        <w:pageBreakBefore/>
      </w:pPr>
      <w:r>
        <w:rPr>
          <w:b w:val="true"/>
          <w:bCs w:val="true"/>
          <w:color w:val="black"/>
          <w:sz w:val="28"/>
          <w:szCs w:val="28"/>
          <w:rFonts w:ascii="Calibri" w:cs="Calibri" w:eastAsia="Calibri" w:hAnsi="Calibri"/>
        </w:rPr>
        <w:t xml:space="preserve">Pre-Judgment Interest Calculations</w:t>
      </w:r>
    </w:p>
    <w:p>
      <w:pPr>
        <w:spacing w:before="50" w:after="50"/>
      </w:pPr>
      <w:r>
        <w:rPr>
          <w:color w:val="black"/>
          <w:sz w:val="26"/>
          <w:szCs w:val="26"/>
          <w:rFonts w:ascii="Calibri" w:cs="Calibri" w:eastAsia="Calibri" w:hAnsi="Calibri"/>
        </w:rPr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auto" w:w="100"/>
        <w:jc w:val="center"/>
      </w:tblPr>
      <w:tblGrid>
        <w:gridCol w:w="4505"/>
        <w:gridCol w:w="4505"/>
        <w:gridCol w:w="4505"/>
        <w:gridCol w:w="4505"/>
        <w:gridCol w:w="4505"/>
        <w:gridCol w:w="4505"/>
      </w:tblGrid>
      <w:tr>
        <w:tc>
          <w:tcPr>
            <w:vAlign w:val="center"/>
            <w:shd w:color="000000" w:fill="d0cece"/>
            <w:gridSpan w:val="1"/>
            <w:tcW w:w="4505" w:type="dxa"/>
          </w:tcPr>
          <w:p>
            <w:pPr>
              <w:spacing w:before="50" w:after="50"/>
              <w:jc w:val="center"/>
            </w:pPr>
            <w:r>
              <w:rPr>
                <w:b w:val="true"/>
                <w:bCs w:val="true"/>
                <w:color w:val="black"/>
                <w:sz w:val="24"/>
                <w:szCs w:val="24"/>
                <w:rFonts w:ascii="Calibri" w:cs="Calibri" w:eastAsia="Calibri" w:hAnsi="Calibri"/>
              </w:rPr>
              <w:t xml:space="preserve">Start</w:t>
            </w:r>
          </w:p>
        </w:tc>
        <w:tc>
          <w:tcPr>
            <w:vAlign w:val="center"/>
            <w:shd w:color="000000" w:fill="d0cece"/>
            <w:gridSpan w:val="1"/>
            <w:tcW w:w="4505" w:type="dxa"/>
          </w:tcPr>
          <w:p>
            <w:pPr>
              <w:spacing w:before="50" w:after="50"/>
              <w:jc w:val="center"/>
            </w:pPr>
            <w:r>
              <w:rPr>
                <w:b w:val="true"/>
                <w:bCs w:val="true"/>
                <w:color w:val="black"/>
                <w:sz w:val="24"/>
                <w:szCs w:val="24"/>
                <w:rFonts w:ascii="Calibri" w:cs="Calibri" w:eastAsia="Calibri" w:hAnsi="Calibri"/>
              </w:rPr>
              <w:t xml:space="preserve">End</w:t>
            </w:r>
          </w:p>
        </w:tc>
        <w:tc>
          <w:tcPr>
            <w:vAlign w:val="center"/>
            <w:shd w:color="000000" w:fill="d0cece"/>
            <w:gridSpan w:val="1"/>
            <w:tcW w:w="4505" w:type="dxa"/>
          </w:tcPr>
          <w:p>
            <w:pPr>
              <w:spacing w:before="50" w:after="50"/>
              <w:jc w:val="center"/>
            </w:pPr>
            <w:r>
              <w:rPr>
                <w:b w:val="true"/>
                <w:bCs w:val="true"/>
                <w:color w:val="black"/>
                <w:sz w:val="24"/>
                <w:szCs w:val="24"/>
                <w:rFonts w:ascii="Calibri" w:cs="Calibri" w:eastAsia="Calibri" w:hAnsi="Calibri"/>
              </w:rPr>
              <w:t xml:space="preserve">RBA Cash Rate</w:t>
            </w:r>
          </w:p>
        </w:tc>
        <w:tc>
          <w:tcPr>
            <w:vAlign w:val="center"/>
            <w:shd w:color="000000" w:fill="d0cece"/>
            <w:gridSpan w:val="1"/>
            <w:tcW w:w="4505" w:type="dxa"/>
          </w:tcPr>
          <w:p>
            <w:pPr>
              <w:spacing w:before="50" w:after="50"/>
              <w:jc w:val="center"/>
            </w:pPr>
            <w:r>
              <w:rPr>
                <w:b w:val="true"/>
                <w:bCs w:val="true"/>
                <w:color w:val="black"/>
                <w:sz w:val="24"/>
                <w:szCs w:val="24"/>
                <w:rFonts w:ascii="Calibri" w:cs="Calibri" w:eastAsia="Calibri" w:hAnsi="Calibri"/>
              </w:rPr>
              <w:t xml:space="preserve">Pre-Judgment Interest Rate</w:t>
            </w:r>
          </w:p>
        </w:tc>
        <w:tc>
          <w:tcPr>
            <w:vAlign w:val="center"/>
            <w:shd w:color="000000" w:fill="d0cece"/>
            <w:gridSpan w:val="1"/>
            <w:tcW w:w="4505" w:type="dxa"/>
          </w:tcPr>
          <w:p>
            <w:pPr>
              <w:spacing w:before="50" w:after="50"/>
              <w:jc w:val="center"/>
            </w:pPr>
            <w:r>
              <w:rPr>
                <w:b w:val="true"/>
                <w:bCs w:val="true"/>
                <w:color w:val="black"/>
                <w:sz w:val="24"/>
                <w:szCs w:val="24"/>
                <w:rFonts w:ascii="Calibri" w:cs="Calibri" w:eastAsia="Calibri" w:hAnsi="Calibri"/>
              </w:rPr>
              <w:t xml:space="preserve">Days in Period</w:t>
            </w:r>
          </w:p>
        </w:tc>
        <w:tc>
          <w:tcPr>
            <w:vAlign w:val="center"/>
            <w:shd w:color="000000" w:fill="d0cece"/>
            <w:gridSpan w:val="1"/>
            <w:tcW w:w="4505" w:type="dxa"/>
          </w:tcPr>
          <w:p>
            <w:pPr>
              <w:spacing w:before="50" w:after="50"/>
              <w:jc w:val="center"/>
            </w:pPr>
            <w:r>
              <w:rPr>
                <w:b w:val="true"/>
                <w:bCs w:val="true"/>
                <w:color w:val="black"/>
                <w:sz w:val="24"/>
                <w:szCs w:val="24"/>
                <w:rFonts w:ascii="Calibri" w:cs="Calibri" w:eastAsia="Calibri" w:hAnsi="Calibri"/>
              </w:rPr>
              <w:t xml:space="preserve">Interest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01/07/2001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31/12/2001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9%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162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$ 6,842.37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01/01/2002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30/06/2002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4.25%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8.25%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181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$ 7,007.80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01/07/2002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31/12/2002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4.75%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8.75%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$ 7,555.71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01/01/2003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30/06/2003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4.75%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8.75%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181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$ 7,432.52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01/07/2003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31/12/2003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4.75%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8.75%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$ 7,555.71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01/01/2004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30/06/2004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5.25%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9.25%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182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$ 7,900.64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01/07/2004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31/12/2004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5.25%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9.25%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$ 7,987.46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01/01/2005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30/06/2005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5.25%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9.25%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181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$ 7,857.23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01/07/2005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31/12/2005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5.5%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9.5%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$ 8,203.34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01/01/2006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30/06/2006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5.5%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9.5%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181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$ 8,069.59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01/07/2006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31/12/2006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5.75%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9.75%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$ 8,419.22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01/01/2007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30/06/2007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6.25%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10.25%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181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$ 8,706.66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01/07/2007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31/12/2007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6.25%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10.25%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$ 8,850.97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01/01/2008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30/06/2008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6.75%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10.75%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182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$ 9,181.83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01/07/2008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31/12/2008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7.25%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11.25%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$ 9,714.48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01/01/2009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30/06/2009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4.25%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8.25%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181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$ 7,007.80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01/07/2009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31/12/2009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7%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$ 6,044.57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01/01/2010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30/06/2010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3.75%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7.75%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181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$ 6,583.09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01/07/2010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31/12/2010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4.5%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8.5%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$ 7,339.83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01/01/2011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30/06/2011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4.75%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8.75%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181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$ 7,432.52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01/07/2011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31/12/2011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4.75%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8.75%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$ 7,555.71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01/01/2012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30/06/2012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4.25%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8.25%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182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$ 7,046.52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01/07/2012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31/12/2012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3.5%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7.5%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$ 6,476.32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01/01/2013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30/06/2013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7%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181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$ 5,946.01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01/07/2013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31/12/2013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2.75%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6.75%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$ 5,828.69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01/01/2014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30/06/2014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2.5%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6.5%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181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$ 5,521.30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01/07/2014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31/12/2014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2.5%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6.5%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$ 5,612.81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01/01/2015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30/06/2015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2.5%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6.5%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181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$ 5,521.30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01/07/2015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31/12/2015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2%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6%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$ 5,181.06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01/01/2016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30/06/2016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2%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6%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182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$ 5,124.74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01/07/2016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31/12/2016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1.75%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5.75%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$ 4,965.18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01/01/2017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30/06/2017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1.5%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5.5%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181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$ 4,671.87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01/07/2017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31/12/2017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1.5%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5.5%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$ 4,749.30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01/01/2018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30/06/2018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1.5%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5.5%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181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$ 4,671.87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01/07/2018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31/12/2018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1.5%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5.5%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$ 4,749.30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01/01/2019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30/06/2019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1.5%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5.5%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181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$ 4,671.87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01/07/2019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31/12/2019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1.25%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5.25%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$ 4,533.42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01/01/2020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30/06/2020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0.75%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4.75%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182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$ 4,057.09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01/07/2020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31/12/2020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0.25%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4.25%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184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$ 3,669.91</w:t>
            </w:r>
          </w:p>
        </w:tc>
      </w:tr>
      <w:tr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01/01/2021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30/06/2021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0.1%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4.1%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181</w:t>
            </w:r>
          </w:p>
        </w:tc>
        <w:tc>
          <w:tcPr>
            <w:vAlign w:val="center"/>
            <w:shd w:color="000000" w:fill="e7e6e6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$ 3,482.66</w:t>
            </w:r>
          </w:p>
        </w:tc>
      </w:tr>
      <w:tr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01/07/2021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23/07/2021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0.1%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4.1%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23</w:t>
            </w:r>
          </w:p>
        </w:tc>
        <w:tc>
          <w:tcPr>
            <w:vAlign w:val="center"/>
            <w:tcW w:w="4505" w:type="dxa"/>
          </w:tcPr>
          <w:p>
            <w:pPr>
              <w:spacing w:before="50" w:after="50"/>
              <w:jc w:val="center"/>
            </w:pPr>
            <w:r>
              <w:rPr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$ 442.55</w:t>
            </w:r>
          </w:p>
        </w:tc>
      </w:tr>
      <w:tr>
        <w:tc>
          <w:tcPr>
            <w:vAlign w:val="center"/>
            <w:shd w:color="000000" w:fill="d0cece"/>
            <w:gridSpan w:val="5"/>
            <w:tcW w:w="4505" w:type="dxa"/>
          </w:tcPr>
          <w:p>
            <w:pPr>
              <w:spacing w:before="50" w:after="50"/>
              <w:jc w:val="center"/>
            </w:pPr>
            <w:r>
              <w:rPr>
                <w:b w:val="true"/>
                <w:bCs w:val="true"/>
                <w:color w:val="black"/>
                <w:sz w:val="24"/>
                <w:szCs w:val="24"/>
                <w:rFonts w:ascii="Calibri" w:cs="Calibri" w:eastAsia="Calibri" w:hAnsi="Calibri"/>
              </w:rPr>
              <w:t xml:space="preserve">Total Interest:</w:t>
            </w:r>
          </w:p>
        </w:tc>
        <w:tc>
          <w:tcPr>
            <w:vAlign w:val="center"/>
            <w:shd w:color="000000" w:fill="d0cece"/>
            <w:gridSpan w:val="1"/>
            <w:tcW w:w="4505" w:type="dxa"/>
          </w:tcPr>
          <w:p>
            <w:pPr>
              <w:spacing w:before="50" w:after="50"/>
              <w:jc w:val="center"/>
            </w:pPr>
            <w:r>
              <w:rPr>
                <w:b w:val="true"/>
                <w:bCs w:val="true"/>
                <w:color w:val="black"/>
                <w:sz w:val="24"/>
                <w:szCs w:val="24"/>
                <w:rFonts w:ascii="Calibri" w:cs="Calibri" w:eastAsia="Calibri" w:hAnsi="Calibri"/>
              </w:rPr>
              <w:t xml:space="preserve">$ 260,172.82</w:t>
            </w:r>
          </w:p>
        </w:tc>
      </w:tr>
    </w:tbl>
    <w:p>
      <w:pPr>
        <w:spacing w:before="50" w:after="50"/>
      </w:pPr>
      <w:r>
        <w:rPr>
          <w:color w:val="black"/>
          <w:sz w:val="26"/>
          <w:szCs w:val="26"/>
          <w:rFonts w:ascii="Calibri" w:cs="Calibri" w:eastAsia="Calibri" w:hAnsi="Calibri"/>
        </w:rPr>
      </w:r>
    </w:p>
    <w:p>
      <w:pPr>
        <w:spacing w:before="50" w:after="50"/>
      </w:pPr>
      <w:r>
        <w:rPr>
          <w:color w:val="black"/>
          <w:sz w:val="26"/>
          <w:szCs w:val="26"/>
          <w:rFonts w:ascii="Calibri" w:cs="Calibri" w:eastAsia="Calibri" w:hAnsi="Calibri"/>
        </w:rPr>
      </w:r>
    </w:p>
    <w:p>
      <w:pPr>
        <w:spacing w:before="50" w:after="50"/>
      </w:pPr>
      <w:r>
        <w:rPr>
          <w:color w:val="black"/>
          <w:sz w:val="26"/>
          <w:szCs w:val="26"/>
          <w:rFonts w:ascii="Calibri" w:cs="Calibri" w:eastAsia="Calibri" w:hAnsi="Calibri"/>
        </w:rPr>
      </w:r>
    </w:p>
    <w:p>
      <w:pPr>
        <w:spacing w:before="50" w:after="50"/>
        <w:jc w:val="left"/>
      </w:pPr>
      <w:r>
        <w:rPr>
          <w:b w:val="true"/>
          <w:bCs w:val="true"/>
          <w:color w:val="black"/>
          <w:sz w:val="24"/>
          <w:szCs w:val="24"/>
          <w:rFonts w:ascii="Calibri" w:cs="Calibri" w:eastAsia="Calibri" w:hAnsi="Calibri"/>
        </w:rPr>
        <w:t xml:space="preserve">Notes:</w:t>
      </w:r>
    </w:p>
    <w:p>
      <w:pPr>
        <w:spacing w:before="50" w:after="50"/>
      </w:pPr>
      <w:r>
        <w:rPr>
          <w:color w:val="black"/>
          <w:sz w:val="26"/>
          <w:szCs w:val="26"/>
          <w:rFonts w:ascii="Calibri" w:cs="Calibri" w:eastAsia="Calibri" w:hAnsi="Calibri"/>
        </w:rPr>
      </w:r>
    </w:p>
    <w:p>
      <w:pPr>
        <w:spacing w:before="50" w:after="50"/>
        <w:jc w:val="left"/>
        <w:pStyle w:val="ListParagraph"/>
        <w:numPr>
          <w:ilvl w:val="0"/>
          <w:numId w:val="1"/>
        </w:numPr>
      </w:pPr>
      <w:r>
        <w:rPr>
          <w:color w:val="black"/>
          <w:sz w:val="24"/>
          <w:szCs w:val="24"/>
          <w:rFonts w:ascii="Calibri" w:cs="Calibri" w:eastAsia="Calibri" w:hAnsi="Calibri"/>
        </w:rPr>
        <w:t xml:space="preserve">From June 1990 back we use the Interbank Overnight Cash Rate; because at this point the RBA publishes a range rather than a rate for the Cash Rate Target, and going further back publishes no target at all.</w:t>
      </w:r>
    </w:p>
    <w:p>
      <w:pPr>
        <w:spacing w:before="50" w:after="50"/>
        <w:jc w:val="left"/>
        <w:pStyle w:val="ListParagraph"/>
        <w:numPr>
          <w:ilvl w:val="0"/>
          <w:numId w:val="1"/>
        </w:numPr>
      </w:pPr>
      <w:r>
        <w:rPr>
          <w:color w:val="black"/>
          <w:sz w:val="24"/>
          <w:szCs w:val="24"/>
          <w:rFonts w:ascii="Calibri" w:cs="Calibri" w:eastAsia="Calibri" w:hAnsi="Calibri"/>
        </w:rPr>
        <w:t xml:space="preserve">Data sources: https://www.rba.gov.au/statistics/tables/index.html ("Interest Rates and Yields – Money Market – Daily – F1") https://www.rba.gov.au/statistics/historical-data.html ("Interest Rates and Yields – Money Market – Daily – 1976 to 31 December 1810 – F1")</w:t>
      </w:r>
    </w:p>
    <w:p>
      <w:pPr>
        <w:spacing w:before="50" w:after="50"/>
        <w:jc w:val="left"/>
        <w:pStyle w:val="ListParagraph"/>
        <w:numPr>
          <w:ilvl w:val="0"/>
          <w:numId w:val="1"/>
        </w:numPr>
      </w:pPr>
      <w:r>
        <w:rPr>
          <w:color w:val="black"/>
          <w:sz w:val="24"/>
          <w:szCs w:val="24"/>
          <w:rFonts w:ascii="Calibri" w:cs="Calibri" w:eastAsia="Calibri" w:hAnsi="Calibri"/>
        </w:rPr>
        <w:t xml:space="preserve">The prescribed rate at which pre-judgment interest is awarded is 4% above the last cash rate published by the Reserve Bank of Australia ("RBA") before the period commenced, by reference to the periods:</w:t>
      </w:r>
    </w:p>
    <w:p>
      <w:pPr>
        <w:spacing w:before="50" w:after="50"/>
        <w:jc w:val="left"/>
        <w:pStyle w:val="ListParagraph"/>
        <w:numPr>
          <w:ilvl w:val="1"/>
          <w:numId w:val="1"/>
        </w:numPr>
      </w:pPr>
      <w:r>
        <w:rPr>
          <w:color w:val="black"/>
          <w:sz w:val="24"/>
          <w:szCs w:val="24"/>
          <w:rFonts w:ascii="Calibri" w:cs="Calibri" w:eastAsia="Calibri" w:hAnsi="Calibri"/>
        </w:rPr>
        <w:t xml:space="preserve">01 January to 22 June in any year; and</w:t>
      </w:r>
    </w:p>
    <w:p>
      <w:pPr>
        <w:spacing w:before="50" w:after="50"/>
        <w:jc w:val="left"/>
        <w:pStyle w:val="ListParagraph"/>
        <w:numPr>
          <w:ilvl w:val="1"/>
          <w:numId w:val="1"/>
        </w:numPr>
      </w:pPr>
      <w:r>
        <w:rPr>
          <w:color w:val="black"/>
          <w:sz w:val="24"/>
          <w:szCs w:val="24"/>
          <w:rFonts w:ascii="Calibri" w:cs="Calibri" w:eastAsia="Calibri" w:hAnsi="Calibri"/>
        </w:rPr>
        <w:t xml:space="preserve">01 July to 31 December in any year.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 w:sep="false"/>
      <w:docGrid w:linePitch="360"/>
      <w:footerReference w:type="default" r:id="rId5"/>
      <w:pgNumType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center"/>
    </w:pPr>
    <w:r>
      <w:rPr>
        <w:rFonts w:ascii="Calibri" w:cs="Calibri" w:eastAsia="Calibri" w:hAnsi="Calibri"/>
      </w:rPr>
      <w:t xml:space="preserve">Page </w:t>
      <w:fldChar w:fldCharType="begin"/>
      <w:instrText xml:space="preserve">PAGE</w:instrText>
      <w:fldChar w:fldCharType="separate"/>
      <w:fldChar w:fldCharType="end"/>
    </w:r>
    <w:r>
      <w:rPr>
        <w:rFonts w:ascii="Calibri" w:cs="Calibri" w:eastAsia="Calibri" w:hAnsi="Calibri"/>
      </w:rPr>
      <w:t xml:space="preserve"> of </w:t>
      <w:fldChar w:fldCharType="begin"/>
      <w:instrText xml:space="preserve">NUMPAGES</w:instrText>
      <w:fldChar w:fldCharType="separate"/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76094510717122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0">
    <w:abstractNumId w:val="76094510717122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pat>
    <w:compatSetting w:val="15" w:uri="http://schemas.microsoft.com/office/word" w:name="compatibilityMode"/>
  </w:compat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gifuz5bc8zuoc0ioged22.png"/></Relationships>
</file>

<file path=word/_rels/footer1.xml.rels><Relationships xmlns="http://schemas.openxmlformats.org/package/2006/relationships"/>
</file>

<file path=word/_rels/footnotes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2021-07-24T10:48:07Z</dcterms:created>
  <dcterms:modified xsi:type="dcterms:W3CDTF">2021-07-24T10:48:07Z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